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46" w:rsidRPr="008D44EB" w:rsidRDefault="00167546" w:rsidP="003F795C">
      <w:pPr>
        <w:jc w:val="center"/>
        <w:rPr>
          <w:rFonts w:asciiTheme="minorHAnsi" w:hAnsiTheme="minorHAnsi" w:cstheme="minorHAnsi"/>
          <w:color w:val="FFFFFF"/>
        </w:rPr>
      </w:pPr>
      <w:r w:rsidRPr="008D44EB">
        <w:rPr>
          <w:rFonts w:asciiTheme="minorHAnsi" w:hAnsiTheme="minorHAnsi" w:cstheme="minorHAnsi"/>
          <w:color w:val="FFFF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5.5pt" fillcolor="window">
            <v:imagedata r:id="rId5" o:title="shma oikonomikou"/>
          </v:shape>
        </w:pict>
      </w:r>
    </w:p>
    <w:p w:rsidR="00167546" w:rsidRPr="008D44EB" w:rsidRDefault="00167546" w:rsidP="003F795C">
      <w:pPr>
        <w:tabs>
          <w:tab w:val="left" w:pos="426"/>
          <w:tab w:val="center" w:pos="1840"/>
          <w:tab w:val="left" w:pos="5100"/>
        </w:tabs>
        <w:jc w:val="center"/>
        <w:rPr>
          <w:rFonts w:asciiTheme="minorHAnsi" w:hAnsiTheme="minorHAnsi" w:cstheme="minorHAnsi"/>
          <w:lang w:val="en-US"/>
        </w:rPr>
      </w:pPr>
      <w:r w:rsidRPr="008D44EB">
        <w:rPr>
          <w:rFonts w:asciiTheme="minorHAnsi" w:hAnsiTheme="minorHAnsi" w:cstheme="minorHAnsi"/>
          <w:b/>
          <w:lang w:val="en-US"/>
        </w:rPr>
        <w:t>UNIVERSITY OF IOANNINA</w:t>
      </w:r>
    </w:p>
    <w:p w:rsidR="00167546" w:rsidRPr="008D44EB" w:rsidRDefault="00167546" w:rsidP="003F795C">
      <w:pPr>
        <w:jc w:val="center"/>
        <w:rPr>
          <w:rFonts w:asciiTheme="minorHAnsi" w:hAnsiTheme="minorHAnsi" w:cstheme="minorHAnsi"/>
          <w:b/>
          <w:lang w:val="en-US"/>
        </w:rPr>
      </w:pPr>
      <w:r w:rsidRPr="008D44EB">
        <w:rPr>
          <w:rFonts w:asciiTheme="minorHAnsi" w:hAnsiTheme="minorHAnsi" w:cstheme="minorHAnsi"/>
          <w:b/>
          <w:lang w:val="en-US"/>
        </w:rPr>
        <w:t>DEPARTMENT OF ECONOMICS</w:t>
      </w:r>
    </w:p>
    <w:p w:rsidR="008D44EB" w:rsidRDefault="008D44EB" w:rsidP="003F795C">
      <w:pPr>
        <w:jc w:val="center"/>
        <w:rPr>
          <w:rFonts w:asciiTheme="minorHAnsi" w:hAnsiTheme="minorHAnsi" w:cstheme="minorHAnsi"/>
          <w:b/>
          <w:lang w:val="en-US"/>
        </w:rPr>
      </w:pPr>
    </w:p>
    <w:p w:rsidR="00D43560" w:rsidRPr="008D44EB" w:rsidRDefault="008D44EB" w:rsidP="003F795C">
      <w:pPr>
        <w:jc w:val="center"/>
        <w:rPr>
          <w:rFonts w:asciiTheme="minorHAnsi" w:hAnsiTheme="minorHAnsi" w:cstheme="minorHAnsi"/>
          <w:b/>
          <w:lang w:val="en-US"/>
        </w:rPr>
      </w:pPr>
      <w:r w:rsidRPr="008D44EB">
        <w:rPr>
          <w:rFonts w:asciiTheme="minorHAnsi" w:hAnsiTheme="minorHAnsi" w:cstheme="minorHAnsi"/>
          <w:b/>
          <w:lang w:val="en-US"/>
        </w:rPr>
        <w:t>Course outline</w:t>
      </w:r>
      <w:r>
        <w:rPr>
          <w:rFonts w:asciiTheme="minorHAnsi" w:hAnsiTheme="minorHAnsi" w:cstheme="minorHAnsi"/>
          <w:b/>
          <w:lang w:val="en-US"/>
        </w:rPr>
        <w:t xml:space="preserve"> “</w:t>
      </w:r>
      <w:r w:rsidR="00B43DB4" w:rsidRPr="008D44EB">
        <w:rPr>
          <w:rFonts w:asciiTheme="minorHAnsi" w:hAnsiTheme="minorHAnsi" w:cstheme="minorHAnsi"/>
          <w:b/>
          <w:lang w:val="en-US"/>
        </w:rPr>
        <w:t xml:space="preserve">International </w:t>
      </w:r>
      <w:r w:rsidR="005F4384" w:rsidRPr="008D44EB">
        <w:rPr>
          <w:rFonts w:asciiTheme="minorHAnsi" w:hAnsiTheme="minorHAnsi" w:cstheme="minorHAnsi"/>
          <w:b/>
          <w:lang w:val="en-US"/>
        </w:rPr>
        <w:t xml:space="preserve">Monetary Relations and </w:t>
      </w:r>
      <w:r w:rsidR="00B43DB4" w:rsidRPr="008D44EB">
        <w:rPr>
          <w:rFonts w:asciiTheme="minorHAnsi" w:hAnsiTheme="minorHAnsi" w:cstheme="minorHAnsi"/>
          <w:b/>
          <w:lang w:val="en-US"/>
        </w:rPr>
        <w:t>Macroeconomics</w:t>
      </w:r>
      <w:r w:rsidR="005F4384" w:rsidRPr="008D44EB">
        <w:rPr>
          <w:rFonts w:asciiTheme="minorHAnsi" w:hAnsiTheme="minorHAnsi" w:cstheme="minorHAnsi"/>
          <w:b/>
          <w:lang w:val="en-US"/>
        </w:rPr>
        <w:t xml:space="preserve"> of Open Economy</w:t>
      </w:r>
      <w:r>
        <w:rPr>
          <w:rFonts w:asciiTheme="minorHAnsi" w:hAnsiTheme="minorHAnsi" w:cstheme="minorHAnsi"/>
          <w:b/>
          <w:lang w:val="en-US"/>
        </w:rPr>
        <w:t>”</w:t>
      </w:r>
    </w:p>
    <w:p w:rsidR="00EF1655" w:rsidRPr="008D44EB" w:rsidRDefault="00EF1655" w:rsidP="003F795C">
      <w:pPr>
        <w:jc w:val="center"/>
        <w:rPr>
          <w:rFonts w:asciiTheme="minorHAnsi" w:hAnsiTheme="minorHAnsi" w:cstheme="minorHAnsi"/>
          <w:b/>
          <w:lang w:val="en-US"/>
        </w:rPr>
      </w:pPr>
    </w:p>
    <w:p w:rsidR="008D44EB" w:rsidRPr="008D44EB" w:rsidRDefault="008D44EB" w:rsidP="003F795C">
      <w:pPr>
        <w:pStyle w:val="a3"/>
        <w:rPr>
          <w:rFonts w:asciiTheme="minorHAnsi" w:hAnsiTheme="minorHAnsi" w:cstheme="minorHAnsi"/>
          <w:b/>
        </w:rPr>
      </w:pPr>
      <w:r w:rsidRPr="008D44EB">
        <w:rPr>
          <w:rFonts w:asciiTheme="minorHAnsi" w:hAnsiTheme="minorHAnsi" w:cstheme="minorHAnsi"/>
          <w:b/>
        </w:rPr>
        <w:t>Purpose</w:t>
      </w:r>
    </w:p>
    <w:p w:rsidR="008D44EB" w:rsidRPr="008D44EB" w:rsidRDefault="00DE651E" w:rsidP="003F795C">
      <w:pPr>
        <w:pStyle w:val="a3"/>
        <w:rPr>
          <w:rFonts w:asciiTheme="minorHAnsi" w:hAnsiTheme="minorHAnsi" w:cstheme="minorHAnsi"/>
        </w:rPr>
      </w:pPr>
      <w:r w:rsidRPr="008D44EB">
        <w:rPr>
          <w:rFonts w:asciiTheme="minorHAnsi" w:hAnsiTheme="minorHAnsi" w:cstheme="minorHAnsi"/>
        </w:rPr>
        <w:t>The subject matter of the course is, broadly speaking, concerned with the monetary and macroeconomic relations between countries.</w:t>
      </w:r>
      <w:r w:rsidR="00B532D1" w:rsidRPr="008D44EB">
        <w:rPr>
          <w:rFonts w:asciiTheme="minorHAnsi" w:hAnsiTheme="minorHAnsi" w:cstheme="minorHAnsi"/>
        </w:rPr>
        <w:t xml:space="preserve"> </w:t>
      </w:r>
    </w:p>
    <w:p w:rsidR="008D44EB" w:rsidRPr="008D44EB" w:rsidRDefault="008D44EB" w:rsidP="003F795C">
      <w:pPr>
        <w:pStyle w:val="a3"/>
        <w:rPr>
          <w:rFonts w:asciiTheme="minorHAnsi" w:hAnsiTheme="minorHAnsi" w:cstheme="minorHAnsi"/>
        </w:rPr>
      </w:pPr>
    </w:p>
    <w:p w:rsidR="008D44EB" w:rsidRPr="008D44EB" w:rsidRDefault="008D44EB" w:rsidP="003F795C">
      <w:pPr>
        <w:pStyle w:val="a3"/>
        <w:rPr>
          <w:rFonts w:asciiTheme="minorHAnsi" w:hAnsiTheme="minorHAnsi" w:cstheme="minorHAnsi"/>
          <w:b/>
        </w:rPr>
      </w:pPr>
      <w:r w:rsidRPr="008D44EB">
        <w:rPr>
          <w:rFonts w:asciiTheme="minorHAnsi" w:hAnsiTheme="minorHAnsi" w:cstheme="minorHAnsi"/>
          <w:b/>
        </w:rPr>
        <w:t>Syllabus</w:t>
      </w:r>
    </w:p>
    <w:p w:rsidR="00B532D1" w:rsidRPr="008D44EB" w:rsidRDefault="00B532D1" w:rsidP="003F795C">
      <w:pPr>
        <w:pStyle w:val="a3"/>
        <w:rPr>
          <w:rFonts w:asciiTheme="minorHAnsi" w:hAnsiTheme="minorHAnsi" w:cstheme="minorHAnsi"/>
        </w:rPr>
      </w:pPr>
      <w:r w:rsidRPr="008D44EB">
        <w:rPr>
          <w:rFonts w:asciiTheme="minorHAnsi" w:hAnsiTheme="minorHAnsi" w:cstheme="minorHAnsi"/>
        </w:rPr>
        <w:t>The course covers the following topics:</w:t>
      </w:r>
    </w:p>
    <w:p w:rsidR="0043241C" w:rsidRPr="008D44EB" w:rsidRDefault="00B532D1" w:rsidP="003F795C">
      <w:pPr>
        <w:pStyle w:val="a3"/>
        <w:numPr>
          <w:ilvl w:val="0"/>
          <w:numId w:val="10"/>
        </w:numPr>
        <w:rPr>
          <w:rFonts w:asciiTheme="minorHAnsi" w:hAnsiTheme="minorHAnsi" w:cstheme="minorHAnsi"/>
        </w:rPr>
      </w:pPr>
      <w:r w:rsidRPr="008D44EB">
        <w:rPr>
          <w:rFonts w:asciiTheme="minorHAnsi" w:hAnsiTheme="minorHAnsi" w:cstheme="minorHAnsi"/>
        </w:rPr>
        <w:t>The foreign exchange market</w:t>
      </w:r>
      <w:r w:rsidR="0043241C" w:rsidRPr="008D44EB">
        <w:rPr>
          <w:rFonts w:asciiTheme="minorHAnsi" w:hAnsiTheme="minorHAnsi" w:cstheme="minorHAnsi"/>
          <w:lang w:val="en-US"/>
        </w:rPr>
        <w:t xml:space="preserve"> (d</w:t>
      </w:r>
      <w:proofErr w:type="spellStart"/>
      <w:r w:rsidR="0043241C" w:rsidRPr="008D44EB">
        <w:rPr>
          <w:rFonts w:asciiTheme="minorHAnsi" w:hAnsiTheme="minorHAnsi" w:cstheme="minorHAnsi"/>
        </w:rPr>
        <w:t>efinition</w:t>
      </w:r>
      <w:proofErr w:type="spellEnd"/>
      <w:r w:rsidR="0043241C" w:rsidRPr="008D44EB">
        <w:rPr>
          <w:rFonts w:asciiTheme="minorHAnsi" w:hAnsiTheme="minorHAnsi" w:cstheme="minorHAnsi"/>
        </w:rPr>
        <w:t xml:space="preserve"> of exchange rates</w:t>
      </w:r>
      <w:r w:rsidR="0043241C" w:rsidRPr="008D44EB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43241C" w:rsidRPr="008D44EB">
        <w:rPr>
          <w:rFonts w:asciiTheme="minorHAnsi" w:hAnsiTheme="minorHAnsi" w:cstheme="minorHAnsi"/>
          <w:lang w:val="en-US"/>
        </w:rPr>
        <w:t>i</w:t>
      </w:r>
      <w:r w:rsidR="0043241C" w:rsidRPr="008D44EB">
        <w:rPr>
          <w:rFonts w:asciiTheme="minorHAnsi" w:hAnsiTheme="minorHAnsi" w:cstheme="minorHAnsi"/>
        </w:rPr>
        <w:t>mportance</w:t>
      </w:r>
      <w:proofErr w:type="spellEnd"/>
      <w:r w:rsidR="0043241C" w:rsidRPr="008D44EB">
        <w:rPr>
          <w:rFonts w:asciiTheme="minorHAnsi" w:hAnsiTheme="minorHAnsi" w:cstheme="minorHAnsi"/>
        </w:rPr>
        <w:t xml:space="preserve"> of exchange rates, types of exchange rates, the foreign exchange market, arbitrage in FOREX markets, types of currency transactions, market equilibrium exchange rates, alternative exchange rate regimes)</w:t>
      </w:r>
      <w:r w:rsidR="00CA6252">
        <w:rPr>
          <w:rFonts w:asciiTheme="minorHAnsi" w:hAnsiTheme="minorHAnsi" w:cstheme="minorHAnsi"/>
        </w:rPr>
        <w:t>.</w:t>
      </w:r>
      <w:r w:rsidR="0043241C" w:rsidRPr="008D44EB">
        <w:rPr>
          <w:rFonts w:asciiTheme="minorHAnsi" w:hAnsiTheme="minorHAnsi" w:cstheme="minorHAnsi"/>
        </w:rPr>
        <w:t xml:space="preserve"> </w:t>
      </w:r>
    </w:p>
    <w:p w:rsidR="00B532D1" w:rsidRPr="008D44EB" w:rsidRDefault="00425708" w:rsidP="003F795C">
      <w:pPr>
        <w:pStyle w:val="a3"/>
        <w:numPr>
          <w:ilvl w:val="0"/>
          <w:numId w:val="10"/>
        </w:numPr>
        <w:rPr>
          <w:rFonts w:asciiTheme="minorHAnsi" w:hAnsiTheme="minorHAnsi" w:cstheme="minorHAnsi"/>
        </w:rPr>
      </w:pPr>
      <w:r w:rsidRPr="008D44EB">
        <w:rPr>
          <w:rFonts w:asciiTheme="minorHAnsi" w:hAnsiTheme="minorHAnsi" w:cstheme="minorHAnsi"/>
        </w:rPr>
        <w:t>Parities in international economics (</w:t>
      </w:r>
      <w:r w:rsidR="00B532D1" w:rsidRPr="008D44EB">
        <w:rPr>
          <w:rFonts w:asciiTheme="minorHAnsi" w:hAnsiTheme="minorHAnsi" w:cstheme="minorHAnsi"/>
        </w:rPr>
        <w:t>Purchasing Power Parity</w:t>
      </w:r>
      <w:r w:rsidRPr="008D44EB">
        <w:rPr>
          <w:rFonts w:asciiTheme="minorHAnsi" w:hAnsiTheme="minorHAnsi" w:cstheme="minorHAnsi"/>
        </w:rPr>
        <w:t>, Covered Interest Parity</w:t>
      </w:r>
      <w:r w:rsidR="00B532D1" w:rsidRPr="008D44EB">
        <w:rPr>
          <w:rFonts w:asciiTheme="minorHAnsi" w:hAnsiTheme="minorHAnsi" w:cstheme="minorHAnsi"/>
        </w:rPr>
        <w:t xml:space="preserve"> and Uncovered Interest Parity</w:t>
      </w:r>
      <w:r w:rsidRPr="008D44EB">
        <w:rPr>
          <w:rFonts w:asciiTheme="minorHAnsi" w:hAnsiTheme="minorHAnsi" w:cstheme="minorHAnsi"/>
        </w:rPr>
        <w:t>)</w:t>
      </w:r>
      <w:r w:rsidR="00B532D1" w:rsidRPr="008D44EB">
        <w:rPr>
          <w:rFonts w:asciiTheme="minorHAnsi" w:hAnsiTheme="minorHAnsi" w:cstheme="minorHAnsi"/>
        </w:rPr>
        <w:t>.</w:t>
      </w:r>
    </w:p>
    <w:p w:rsidR="0043241C" w:rsidRPr="008D44EB" w:rsidRDefault="005A1212" w:rsidP="003F795C">
      <w:pPr>
        <w:pStyle w:val="a3"/>
        <w:numPr>
          <w:ilvl w:val="0"/>
          <w:numId w:val="10"/>
        </w:numPr>
        <w:rPr>
          <w:rFonts w:asciiTheme="minorHAnsi" w:hAnsiTheme="minorHAnsi" w:cstheme="minorHAnsi"/>
        </w:rPr>
      </w:pPr>
      <w:r w:rsidRPr="008D44EB">
        <w:rPr>
          <w:rFonts w:asciiTheme="minorHAnsi" w:hAnsiTheme="minorHAnsi" w:cstheme="minorHAnsi"/>
        </w:rPr>
        <w:t>Balance of payments</w:t>
      </w:r>
      <w:r w:rsidR="0043241C" w:rsidRPr="008D44EB">
        <w:rPr>
          <w:rFonts w:asciiTheme="minorHAnsi" w:hAnsiTheme="minorHAnsi" w:cstheme="minorHAnsi"/>
        </w:rPr>
        <w:t xml:space="preserve"> (</w:t>
      </w:r>
      <w:proofErr w:type="spellStart"/>
      <w:r w:rsidR="0043241C" w:rsidRPr="008D44EB">
        <w:rPr>
          <w:rFonts w:asciiTheme="minorHAnsi" w:hAnsiTheme="minorHAnsi" w:cstheme="minorHAnsi"/>
        </w:rPr>
        <w:t>BoP</w:t>
      </w:r>
      <w:proofErr w:type="spellEnd"/>
      <w:r w:rsidR="0043241C" w:rsidRPr="008D44EB">
        <w:rPr>
          <w:rFonts w:asciiTheme="minorHAnsi" w:hAnsiTheme="minorHAnsi" w:cstheme="minorHAnsi"/>
        </w:rPr>
        <w:t xml:space="preserve"> accounting, </w:t>
      </w:r>
      <w:proofErr w:type="spellStart"/>
      <w:r w:rsidR="0043241C" w:rsidRPr="008D44EB">
        <w:rPr>
          <w:rFonts w:asciiTheme="minorHAnsi" w:hAnsiTheme="minorHAnsi" w:cstheme="minorHAnsi"/>
        </w:rPr>
        <w:t>BoP</w:t>
      </w:r>
      <w:proofErr w:type="spellEnd"/>
      <w:r w:rsidR="0043241C" w:rsidRPr="008D44EB">
        <w:rPr>
          <w:rFonts w:asciiTheme="minorHAnsi" w:hAnsiTheme="minorHAnsi" w:cstheme="minorHAnsi"/>
        </w:rPr>
        <w:t xml:space="preserve"> accounts, what is a </w:t>
      </w:r>
      <w:proofErr w:type="spellStart"/>
      <w:r w:rsidR="0043241C" w:rsidRPr="008D44EB">
        <w:rPr>
          <w:rFonts w:asciiTheme="minorHAnsi" w:hAnsiTheme="minorHAnsi" w:cstheme="minorHAnsi"/>
        </w:rPr>
        <w:t>BoP</w:t>
      </w:r>
      <w:proofErr w:type="spellEnd"/>
      <w:r w:rsidR="0043241C" w:rsidRPr="008D44EB">
        <w:rPr>
          <w:rFonts w:asciiTheme="minorHAnsi" w:hAnsiTheme="minorHAnsi" w:cstheme="minorHAnsi"/>
        </w:rPr>
        <w:t xml:space="preserve"> surplus or deficit, twin deficits, elasticity and absorption approaches to </w:t>
      </w:r>
      <w:proofErr w:type="spellStart"/>
      <w:r w:rsidR="0043241C" w:rsidRPr="008D44EB">
        <w:rPr>
          <w:rFonts w:asciiTheme="minorHAnsi" w:hAnsiTheme="minorHAnsi" w:cstheme="minorHAnsi"/>
        </w:rPr>
        <w:t>BoP</w:t>
      </w:r>
      <w:proofErr w:type="spellEnd"/>
      <w:r w:rsidR="0043241C" w:rsidRPr="008D44EB">
        <w:rPr>
          <w:rFonts w:asciiTheme="minorHAnsi" w:hAnsiTheme="minorHAnsi" w:cstheme="minorHAnsi"/>
        </w:rPr>
        <w:t>).</w:t>
      </w:r>
    </w:p>
    <w:p w:rsidR="004432DF" w:rsidRPr="008D44EB" w:rsidRDefault="004432DF" w:rsidP="003F795C">
      <w:pPr>
        <w:pStyle w:val="a3"/>
        <w:numPr>
          <w:ilvl w:val="0"/>
          <w:numId w:val="10"/>
        </w:numPr>
        <w:rPr>
          <w:rFonts w:asciiTheme="minorHAnsi" w:hAnsiTheme="minorHAnsi" w:cstheme="minorHAnsi"/>
        </w:rPr>
      </w:pPr>
      <w:r w:rsidRPr="008D44EB">
        <w:rPr>
          <w:rFonts w:asciiTheme="minorHAnsi" w:hAnsiTheme="minorHAnsi" w:cstheme="minorHAnsi"/>
        </w:rPr>
        <w:t>Optimum currency areas (Benefits and costs of currency areas, criteria, Economic and Monetary Union, is Europe an OCA?).</w:t>
      </w:r>
    </w:p>
    <w:p w:rsidR="005F4384" w:rsidRPr="008D44EB" w:rsidRDefault="005F4384" w:rsidP="003F795C">
      <w:pPr>
        <w:pStyle w:val="a3"/>
        <w:rPr>
          <w:rFonts w:asciiTheme="minorHAnsi" w:hAnsiTheme="minorHAnsi" w:cstheme="minorHAnsi"/>
        </w:rPr>
      </w:pPr>
    </w:p>
    <w:p w:rsidR="008D44EB" w:rsidRPr="008D44EB" w:rsidRDefault="008D44EB" w:rsidP="003F795C">
      <w:pPr>
        <w:pStyle w:val="a3"/>
        <w:rPr>
          <w:rFonts w:ascii="Calibri" w:hAnsi="Calibri" w:cs="Calibri"/>
          <w:b/>
        </w:rPr>
      </w:pPr>
      <w:r w:rsidRPr="008D44EB">
        <w:rPr>
          <w:rFonts w:ascii="Calibri" w:hAnsi="Calibri" w:cs="Calibri"/>
          <w:b/>
        </w:rPr>
        <w:t>Learning Objectives</w:t>
      </w:r>
    </w:p>
    <w:p w:rsidR="00B26DC5" w:rsidRDefault="008D44EB" w:rsidP="003F795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8D44EB">
        <w:rPr>
          <w:rFonts w:asciiTheme="minorHAnsi" w:hAnsiTheme="minorHAnsi" w:cstheme="minorHAnsi"/>
          <w:lang w:val="en-GB"/>
        </w:rPr>
        <w:t>By the end of the course, students will be able to</w:t>
      </w:r>
      <w:r w:rsidR="00B26DC5">
        <w:rPr>
          <w:rFonts w:asciiTheme="minorHAnsi" w:hAnsiTheme="minorHAnsi" w:cstheme="minorHAnsi"/>
          <w:lang w:val="en-GB"/>
        </w:rPr>
        <w:t xml:space="preserve"> </w:t>
      </w:r>
      <w:r w:rsidRPr="008D44EB">
        <w:rPr>
          <w:rFonts w:asciiTheme="minorHAnsi" w:hAnsiTheme="minorHAnsi" w:cstheme="minorHAnsi"/>
          <w:lang w:val="en-GB"/>
        </w:rPr>
        <w:t>demonstrate a body of knowledge that includes</w:t>
      </w:r>
      <w:r w:rsidR="00B26DC5">
        <w:rPr>
          <w:rFonts w:asciiTheme="minorHAnsi" w:hAnsiTheme="minorHAnsi" w:cstheme="minorHAnsi"/>
          <w:lang w:val="en-GB"/>
        </w:rPr>
        <w:t>:</w:t>
      </w:r>
    </w:p>
    <w:p w:rsidR="00B26DC5" w:rsidRDefault="008D44EB" w:rsidP="003F795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en-GB"/>
        </w:rPr>
      </w:pPr>
      <w:r w:rsidRPr="008D44EB">
        <w:rPr>
          <w:rFonts w:asciiTheme="minorHAnsi" w:hAnsiTheme="minorHAnsi" w:cstheme="minorHAnsi"/>
          <w:lang w:val="en-GB"/>
        </w:rPr>
        <w:t xml:space="preserve">the understanding of the most important determinants of exchange rates, </w:t>
      </w:r>
    </w:p>
    <w:p w:rsidR="003F795C" w:rsidRPr="003F795C" w:rsidRDefault="008D44EB" w:rsidP="003F795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lang w:val="en-US"/>
        </w:rPr>
      </w:pPr>
      <w:r w:rsidRPr="003F795C">
        <w:rPr>
          <w:rFonts w:asciiTheme="minorHAnsi" w:hAnsiTheme="minorHAnsi" w:cstheme="minorHAnsi"/>
          <w:lang w:val="en-GB"/>
        </w:rPr>
        <w:t xml:space="preserve">the underlying linkages between exchange rates and Balance of Payments, </w:t>
      </w:r>
    </w:p>
    <w:p w:rsidR="008D44EB" w:rsidRPr="003F795C" w:rsidRDefault="00B26DC5" w:rsidP="003F795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lang w:val="en-US"/>
        </w:rPr>
      </w:pPr>
      <w:proofErr w:type="gramStart"/>
      <w:r w:rsidRPr="003F795C">
        <w:rPr>
          <w:rFonts w:asciiTheme="minorHAnsi" w:hAnsiTheme="minorHAnsi" w:cstheme="minorHAnsi"/>
          <w:lang w:val="en-GB"/>
        </w:rPr>
        <w:t>the</w:t>
      </w:r>
      <w:proofErr w:type="gramEnd"/>
      <w:r w:rsidRPr="003F795C">
        <w:rPr>
          <w:rFonts w:asciiTheme="minorHAnsi" w:hAnsiTheme="minorHAnsi" w:cstheme="minorHAnsi"/>
          <w:lang w:val="en-GB"/>
        </w:rPr>
        <w:t xml:space="preserve"> prerequisites for an optimum currency area. </w:t>
      </w:r>
    </w:p>
    <w:p w:rsidR="009C38A4" w:rsidRDefault="009C38A4" w:rsidP="003F795C">
      <w:pPr>
        <w:pStyle w:val="a3"/>
        <w:rPr>
          <w:rFonts w:asciiTheme="minorHAnsi" w:hAnsiTheme="minorHAnsi" w:cstheme="minorHAnsi"/>
          <w:b/>
        </w:rPr>
      </w:pPr>
    </w:p>
    <w:p w:rsidR="009C38A4" w:rsidRPr="009C38A4" w:rsidRDefault="009C38A4" w:rsidP="003F795C">
      <w:pPr>
        <w:pStyle w:val="a3"/>
        <w:rPr>
          <w:rFonts w:ascii="Calibri" w:hAnsi="Calibri" w:cs="Calibri"/>
          <w:b/>
          <w:szCs w:val="24"/>
        </w:rPr>
      </w:pPr>
      <w:r w:rsidRPr="009C38A4">
        <w:rPr>
          <w:rFonts w:ascii="Calibri" w:hAnsi="Calibri" w:cs="Calibri"/>
          <w:b/>
          <w:szCs w:val="24"/>
        </w:rPr>
        <w:t>Evaluation</w:t>
      </w:r>
    </w:p>
    <w:p w:rsidR="003F795C" w:rsidRPr="00416A9B" w:rsidRDefault="003F795C" w:rsidP="003F795C">
      <w:pPr>
        <w:jc w:val="both"/>
        <w:rPr>
          <w:rFonts w:asciiTheme="minorHAnsi" w:hAnsiTheme="minorHAnsi" w:cstheme="minorHAnsi"/>
          <w:iCs/>
          <w:lang w:val="en-GB"/>
        </w:rPr>
      </w:pPr>
      <w:proofErr w:type="gramStart"/>
      <w:r w:rsidRPr="00416A9B">
        <w:rPr>
          <w:rFonts w:asciiTheme="minorHAnsi" w:hAnsiTheme="minorHAnsi" w:cstheme="minorHAnsi"/>
          <w:iCs/>
          <w:lang w:val="en-GB"/>
        </w:rPr>
        <w:t xml:space="preserve">Written exams </w:t>
      </w:r>
      <w:r w:rsidR="009E2DC0">
        <w:rPr>
          <w:rFonts w:asciiTheme="minorHAnsi" w:hAnsiTheme="minorHAnsi" w:cstheme="minorHAnsi"/>
          <w:iCs/>
          <w:lang w:val="en-GB"/>
        </w:rPr>
        <w:t>at the end of the semester</w:t>
      </w:r>
      <w:r w:rsidRPr="00416A9B">
        <w:rPr>
          <w:rFonts w:asciiTheme="minorHAnsi" w:hAnsiTheme="minorHAnsi" w:cstheme="minorHAnsi"/>
          <w:iCs/>
          <w:lang w:val="en-GB"/>
        </w:rPr>
        <w:t>.</w:t>
      </w:r>
      <w:proofErr w:type="gramEnd"/>
      <w:r w:rsidRPr="00416A9B">
        <w:rPr>
          <w:rFonts w:asciiTheme="minorHAnsi" w:hAnsiTheme="minorHAnsi" w:cstheme="minorHAnsi"/>
          <w:iCs/>
          <w:lang w:val="en-GB"/>
        </w:rPr>
        <w:t xml:space="preserve"> </w:t>
      </w:r>
      <w:r w:rsidR="009E2DC0" w:rsidRPr="009C38A4">
        <w:rPr>
          <w:rFonts w:ascii="Calibri" w:hAnsi="Calibri" w:cs="Calibri"/>
          <w:lang w:val="en-US"/>
        </w:rPr>
        <w:t>Language of evaluation</w:t>
      </w:r>
      <w:r w:rsidR="009E2DC0">
        <w:rPr>
          <w:rFonts w:asciiTheme="minorHAnsi" w:hAnsiTheme="minorHAnsi" w:cstheme="minorHAnsi"/>
          <w:lang w:val="en-US"/>
        </w:rPr>
        <w:t>:</w:t>
      </w:r>
      <w:r w:rsidR="009E2DC0" w:rsidRPr="009C38A4">
        <w:rPr>
          <w:rFonts w:ascii="Calibri" w:hAnsi="Calibri" w:cs="Calibri"/>
          <w:lang w:val="en-US"/>
        </w:rPr>
        <w:t xml:space="preserve"> English</w:t>
      </w:r>
      <w:r w:rsidR="009E2DC0">
        <w:rPr>
          <w:rFonts w:asciiTheme="minorHAnsi" w:hAnsiTheme="minorHAnsi" w:cstheme="minorHAnsi"/>
          <w:lang w:val="en-US"/>
        </w:rPr>
        <w:t>.</w:t>
      </w:r>
    </w:p>
    <w:p w:rsidR="003F795C" w:rsidRDefault="003F795C" w:rsidP="003F795C">
      <w:pPr>
        <w:jc w:val="both"/>
        <w:rPr>
          <w:rFonts w:asciiTheme="minorHAnsi" w:hAnsiTheme="minorHAnsi" w:cstheme="minorHAnsi"/>
          <w:lang w:val="en-US"/>
        </w:rPr>
      </w:pPr>
    </w:p>
    <w:p w:rsidR="00BA7D9F" w:rsidRPr="00BA7D9F" w:rsidRDefault="00BA7D9F" w:rsidP="00BA7D9F">
      <w:pPr>
        <w:pStyle w:val="a3"/>
        <w:rPr>
          <w:rFonts w:asciiTheme="minorHAnsi" w:hAnsiTheme="minorHAnsi" w:cstheme="minorHAnsi"/>
          <w:b/>
        </w:rPr>
      </w:pPr>
      <w:r w:rsidRPr="00BA7D9F">
        <w:rPr>
          <w:rFonts w:asciiTheme="minorHAnsi" w:hAnsiTheme="minorHAnsi" w:cstheme="minorHAnsi"/>
          <w:b/>
        </w:rPr>
        <w:t>European Credit Transfer and Accumulation System (ECTS)</w:t>
      </w:r>
    </w:p>
    <w:p w:rsidR="00BA7D9F" w:rsidRPr="00BA7D9F" w:rsidRDefault="00BA7D9F" w:rsidP="00BA7D9F">
      <w:pPr>
        <w:pStyle w:val="a3"/>
        <w:rPr>
          <w:rFonts w:asciiTheme="minorHAnsi" w:hAnsiTheme="minorHAnsi" w:cstheme="minorHAnsi"/>
        </w:rPr>
      </w:pPr>
      <w:r w:rsidRPr="00BA7D9F">
        <w:rPr>
          <w:rFonts w:asciiTheme="minorHAnsi" w:hAnsiTheme="minorHAnsi" w:cstheme="minorHAnsi"/>
        </w:rPr>
        <w:t>6 credit units</w:t>
      </w:r>
    </w:p>
    <w:p w:rsidR="00BA7D9F" w:rsidRDefault="00BA7D9F" w:rsidP="003F795C">
      <w:pPr>
        <w:jc w:val="both"/>
        <w:rPr>
          <w:rFonts w:asciiTheme="minorHAnsi" w:hAnsiTheme="minorHAnsi" w:cstheme="minorHAnsi"/>
          <w:b/>
          <w:lang w:val="en-GB"/>
        </w:rPr>
      </w:pPr>
    </w:p>
    <w:p w:rsidR="005F4384" w:rsidRPr="008D44EB" w:rsidRDefault="009E2DC0" w:rsidP="003F795C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GB"/>
        </w:rPr>
        <w:t>Indicative Reading</w:t>
      </w:r>
      <w:r w:rsidR="005F4384" w:rsidRPr="008D44EB">
        <w:rPr>
          <w:rFonts w:asciiTheme="minorHAnsi" w:hAnsiTheme="minorHAnsi" w:cstheme="minorHAnsi"/>
          <w:b/>
          <w:lang w:val="en-US"/>
        </w:rPr>
        <w:t>:</w:t>
      </w:r>
    </w:p>
    <w:p w:rsidR="005F4384" w:rsidRPr="008D44EB" w:rsidRDefault="00375021" w:rsidP="003F795C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lang w:val="en-US"/>
        </w:rPr>
      </w:pPr>
      <w:r w:rsidRPr="008D44EB">
        <w:rPr>
          <w:rFonts w:asciiTheme="minorHAnsi" w:hAnsiTheme="minorHAnsi" w:cstheme="minorHAnsi"/>
          <w:lang w:val="en-GB"/>
        </w:rPr>
        <w:t xml:space="preserve">Keith </w:t>
      </w:r>
      <w:proofErr w:type="spellStart"/>
      <w:r w:rsidRPr="008D44EB">
        <w:rPr>
          <w:rFonts w:asciiTheme="minorHAnsi" w:hAnsiTheme="minorHAnsi" w:cstheme="minorHAnsi"/>
          <w:lang w:val="en-GB"/>
        </w:rPr>
        <w:t>Pilbeam</w:t>
      </w:r>
      <w:proofErr w:type="spellEnd"/>
      <w:r w:rsidRPr="008D44EB">
        <w:rPr>
          <w:rFonts w:asciiTheme="minorHAnsi" w:hAnsiTheme="minorHAnsi" w:cstheme="minorHAnsi"/>
          <w:lang w:val="en-GB"/>
        </w:rPr>
        <w:t>, International Finance</w:t>
      </w:r>
    </w:p>
    <w:p w:rsidR="005A1212" w:rsidRPr="0074222F" w:rsidRDefault="0043241C" w:rsidP="003F795C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lang w:val="en-US"/>
        </w:rPr>
      </w:pPr>
      <w:r w:rsidRPr="0074222F">
        <w:rPr>
          <w:rFonts w:asciiTheme="minorHAnsi" w:hAnsiTheme="minorHAnsi" w:cstheme="minorHAnsi"/>
          <w:lang w:val="en-GB"/>
        </w:rPr>
        <w:t xml:space="preserve">Baldwin &amp; </w:t>
      </w:r>
      <w:proofErr w:type="spellStart"/>
      <w:r w:rsidRPr="0074222F">
        <w:rPr>
          <w:rFonts w:asciiTheme="minorHAnsi" w:hAnsiTheme="minorHAnsi" w:cstheme="minorHAnsi"/>
          <w:lang w:val="en-GB"/>
        </w:rPr>
        <w:t>Wyplosz</w:t>
      </w:r>
      <w:proofErr w:type="spellEnd"/>
      <w:r w:rsidRPr="0074222F">
        <w:rPr>
          <w:rFonts w:asciiTheme="minorHAnsi" w:hAnsiTheme="minorHAnsi" w:cstheme="minorHAnsi"/>
          <w:lang w:val="en-GB"/>
        </w:rPr>
        <w:t xml:space="preserve">, </w:t>
      </w:r>
      <w:r w:rsidRPr="0074222F">
        <w:rPr>
          <w:rFonts w:asciiTheme="minorHAnsi" w:hAnsiTheme="minorHAnsi" w:cstheme="minorHAnsi"/>
          <w:lang w:val="en-US"/>
        </w:rPr>
        <w:t>Economics of European Integration</w:t>
      </w:r>
    </w:p>
    <w:p w:rsidR="005A1212" w:rsidRDefault="005A1212" w:rsidP="003F795C">
      <w:pPr>
        <w:pStyle w:val="a3"/>
        <w:rPr>
          <w:rFonts w:asciiTheme="minorHAnsi" w:hAnsiTheme="minorHAnsi" w:cstheme="minorHAnsi"/>
          <w:lang w:val="en-US"/>
        </w:rPr>
      </w:pPr>
    </w:p>
    <w:p w:rsidR="00BA7D9F" w:rsidRDefault="00BA7D9F" w:rsidP="00BA7D9F">
      <w:pPr>
        <w:pStyle w:val="a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Instructor </w:t>
      </w:r>
    </w:p>
    <w:p w:rsidR="00BA7D9F" w:rsidRDefault="00BA7D9F" w:rsidP="00BA7D9F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 </w:t>
      </w:r>
      <w:proofErr w:type="spellStart"/>
      <w:r>
        <w:rPr>
          <w:rFonts w:asciiTheme="minorHAnsi" w:hAnsiTheme="minorHAnsi" w:cstheme="minorHAnsi"/>
        </w:rPr>
        <w:t>Nikolaos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Mylonidis</w:t>
      </w:r>
      <w:proofErr w:type="spellEnd"/>
      <w:r>
        <w:rPr>
          <w:rFonts w:asciiTheme="minorHAnsi" w:hAnsiTheme="minorHAnsi" w:cstheme="minorHAnsi"/>
        </w:rPr>
        <w:t xml:space="preserve"> (nmylonid@uoi.gr)</w:t>
      </w:r>
    </w:p>
    <w:p w:rsidR="00BA7D9F" w:rsidRPr="00BA7D9F" w:rsidRDefault="00BA7D9F" w:rsidP="003F795C">
      <w:pPr>
        <w:pStyle w:val="a3"/>
        <w:rPr>
          <w:rFonts w:asciiTheme="minorHAnsi" w:hAnsiTheme="minorHAnsi" w:cstheme="minorHAnsi"/>
        </w:rPr>
      </w:pPr>
    </w:p>
    <w:sectPr w:rsidR="00BA7D9F" w:rsidRPr="00BA7D9F" w:rsidSect="00BA7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A062AE"/>
    <w:multiLevelType w:val="hybridMultilevel"/>
    <w:tmpl w:val="FD983616"/>
    <w:lvl w:ilvl="0" w:tplc="317CA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CC7AD4"/>
    <w:multiLevelType w:val="hybridMultilevel"/>
    <w:tmpl w:val="B0F8AF66"/>
    <w:lvl w:ilvl="0" w:tplc="6816A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E60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248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AA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8D8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68C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0C3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A04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29D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52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E25999"/>
    <w:multiLevelType w:val="hybridMultilevel"/>
    <w:tmpl w:val="2B42E736"/>
    <w:lvl w:ilvl="0" w:tplc="317CA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E65AD"/>
    <w:multiLevelType w:val="hybridMultilevel"/>
    <w:tmpl w:val="D7F2ED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E5C90"/>
    <w:multiLevelType w:val="hybridMultilevel"/>
    <w:tmpl w:val="B5C6D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602D4"/>
    <w:multiLevelType w:val="hybridMultilevel"/>
    <w:tmpl w:val="07745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80D3A"/>
    <w:multiLevelType w:val="hybridMultilevel"/>
    <w:tmpl w:val="44F4D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D21B08"/>
    <w:multiLevelType w:val="hybridMultilevel"/>
    <w:tmpl w:val="555C4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4E8"/>
    <w:rsid w:val="00167546"/>
    <w:rsid w:val="00375021"/>
    <w:rsid w:val="003F795C"/>
    <w:rsid w:val="00425708"/>
    <w:rsid w:val="0043241C"/>
    <w:rsid w:val="004432DF"/>
    <w:rsid w:val="004E7642"/>
    <w:rsid w:val="005A1212"/>
    <w:rsid w:val="005F4384"/>
    <w:rsid w:val="00641AA0"/>
    <w:rsid w:val="0074222F"/>
    <w:rsid w:val="00893378"/>
    <w:rsid w:val="008D44EB"/>
    <w:rsid w:val="009C38A4"/>
    <w:rsid w:val="009E2DC0"/>
    <w:rsid w:val="00B26DC5"/>
    <w:rsid w:val="00B43DB4"/>
    <w:rsid w:val="00B532D1"/>
    <w:rsid w:val="00BA7D9F"/>
    <w:rsid w:val="00CA6252"/>
    <w:rsid w:val="00D312BA"/>
    <w:rsid w:val="00D43560"/>
    <w:rsid w:val="00DA54E8"/>
    <w:rsid w:val="00DE651E"/>
    <w:rsid w:val="00E35FB9"/>
    <w:rsid w:val="00EF1655"/>
    <w:rsid w:val="00F10851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8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4E8"/>
    <w:pPr>
      <w:jc w:val="both"/>
    </w:pPr>
    <w:rPr>
      <w:szCs w:val="20"/>
      <w:lang w:val="en-GB" w:eastAsia="en-US"/>
    </w:rPr>
  </w:style>
  <w:style w:type="paragraph" w:customStyle="1" w:styleId="Default">
    <w:name w:val="Default"/>
    <w:rsid w:val="0043241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3241C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38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2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73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22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7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Financial Analysis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Analysis</dc:title>
  <dc:creator>user</dc:creator>
  <cp:lastModifiedBy>nikos</cp:lastModifiedBy>
  <cp:revision>15</cp:revision>
  <dcterms:created xsi:type="dcterms:W3CDTF">2022-11-11T10:04:00Z</dcterms:created>
  <dcterms:modified xsi:type="dcterms:W3CDTF">2022-11-11T10:45:00Z</dcterms:modified>
</cp:coreProperties>
</file>